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97B" w:rsidRDefault="003A597B"/>
    <w:p w:rsidR="00FD0EC2" w:rsidRDefault="00FD0EC2"/>
    <w:p w:rsidR="00FD0EC2" w:rsidRDefault="00FD0EC2"/>
    <w:p w:rsidR="00FD0EC2" w:rsidRDefault="00FD0EC2"/>
    <w:p w:rsidR="00FD0EC2" w:rsidRDefault="00FD0EC2" w:rsidP="00FD0EC2">
      <w:pPr>
        <w:overflowPunct/>
        <w:rPr>
          <w:rFonts w:eastAsia="Calibri"/>
          <w:color w:val="000000"/>
          <w:sz w:val="24"/>
          <w:szCs w:val="24"/>
          <w:lang w:eastAsia="en-US"/>
        </w:rPr>
      </w:pPr>
      <w:r>
        <w:rPr>
          <w:rFonts w:eastAsia="Calibri"/>
          <w:bCs/>
          <w:color w:val="000000"/>
          <w:sz w:val="24"/>
          <w:szCs w:val="24"/>
          <w:lang w:eastAsia="en-US"/>
        </w:rPr>
        <w:t xml:space="preserve">Koopkrachtberekeningen op basis van het regeerakkoord van het kabinet-Rutte III </w:t>
      </w:r>
    </w:p>
    <w:p w:rsidR="00FD0EC2" w:rsidRDefault="00FD0EC2" w:rsidP="00FD0EC2">
      <w:pPr>
        <w:overflowPunct/>
        <w:autoSpaceDE/>
        <w:adjustRightInd/>
        <w:spacing w:after="160" w:line="256" w:lineRule="auto"/>
        <w:rPr>
          <w:rFonts w:eastAsia="Calibri"/>
          <w:sz w:val="24"/>
          <w:szCs w:val="24"/>
          <w:u w:val="single"/>
          <w:lang w:eastAsia="en-US"/>
        </w:rPr>
      </w:pPr>
      <w:r>
        <w:rPr>
          <w:rFonts w:eastAsia="Calibri"/>
          <w:sz w:val="24"/>
          <w:szCs w:val="24"/>
          <w:u w:val="single"/>
          <w:lang w:eastAsia="en-US"/>
        </w:rPr>
        <w:t>Wat is koopkracht?</w:t>
      </w:r>
    </w:p>
    <w:p w:rsidR="00FD0EC2" w:rsidRDefault="00FD0EC2" w:rsidP="00FD0EC2">
      <w:pPr>
        <w:overflowPunct/>
        <w:autoSpaceDE/>
        <w:adjustRightInd/>
        <w:spacing w:after="160" w:line="256" w:lineRule="auto"/>
        <w:rPr>
          <w:rFonts w:eastAsia="Calibri"/>
          <w:sz w:val="24"/>
          <w:szCs w:val="24"/>
          <w:lang w:eastAsia="en-US"/>
        </w:rPr>
      </w:pPr>
      <w:r>
        <w:rPr>
          <w:rFonts w:eastAsia="Calibri"/>
          <w:sz w:val="24"/>
          <w:szCs w:val="24"/>
          <w:lang w:eastAsia="en-US"/>
        </w:rPr>
        <w:t>Koopkracht is de waarde van het pakket aan goederen en diensten dat iemand met een bepaald inkomen kan aanschaffen. In de discussie gaat het meestal niet om het koopkrachtniveau, maar om de koopkrachtontwikkeling. Dat wil zeggen het verschil tussen de ontwikkeling in het besteedbaar inkomen en de prijsontwikkeling van de uitgaven die van dat besteedbaar inkomen moeten worden gedaan. Wanneer het besteedbaar inkomen meer stijgt dan de prijsontwikkeling van de uitgaven, stijgt de koopkracht. Omgekeerd, wanneer de uitgaven sneller in prijs stijgen dan het besteedbaar inkomen stijgt, daalt de koopkracht.</w:t>
      </w:r>
    </w:p>
    <w:p w:rsidR="00FD0EC2" w:rsidRDefault="00FD0EC2" w:rsidP="00FD0EC2">
      <w:pPr>
        <w:shd w:val="clear" w:color="auto" w:fill="FFFFFF"/>
        <w:overflowPunct/>
        <w:autoSpaceDE/>
        <w:adjustRightInd/>
        <w:spacing w:before="100" w:beforeAutospacing="1" w:after="300" w:line="390" w:lineRule="atLeast"/>
        <w:rPr>
          <w:rFonts w:eastAsia="Calibri"/>
          <w:sz w:val="24"/>
          <w:szCs w:val="24"/>
          <w:lang w:eastAsia="en-US"/>
        </w:rPr>
      </w:pPr>
      <w:r>
        <w:rPr>
          <w:color w:val="535750"/>
          <w:sz w:val="24"/>
          <w:szCs w:val="24"/>
        </w:rPr>
        <w:t xml:space="preserve">Koopkrachtontwikkeling voor 2021 </w:t>
      </w:r>
      <w:r>
        <w:rPr>
          <w:rFonts w:eastAsia="Calibri"/>
          <w:sz w:val="24"/>
          <w:szCs w:val="24"/>
          <w:lang w:eastAsia="en-US"/>
        </w:rPr>
        <w:t>Meegenomen maatregelen</w:t>
      </w:r>
    </w:p>
    <w:p w:rsidR="00FD0EC2" w:rsidRDefault="00FD0EC2" w:rsidP="00FD0EC2">
      <w:pPr>
        <w:overflowPunct/>
        <w:spacing w:after="95"/>
        <w:rPr>
          <w:rFonts w:eastAsia="Calibri"/>
          <w:sz w:val="24"/>
          <w:szCs w:val="24"/>
          <w:lang w:eastAsia="en-US"/>
        </w:rPr>
      </w:pPr>
      <w:r>
        <w:rPr>
          <w:rFonts w:eastAsia="Calibri"/>
          <w:sz w:val="24"/>
          <w:szCs w:val="24"/>
          <w:lang w:eastAsia="en-US"/>
        </w:rPr>
        <w:t xml:space="preserve">De loon- en prijsstijgingen tot 2021 zoals die door het CPB zijn geraamd. Dit betreft een loonstijging van 13,2 procent over de hele </w:t>
      </w:r>
      <w:r>
        <w:rPr>
          <w:rFonts w:eastAsia="Calibri"/>
          <w:b/>
          <w:sz w:val="24"/>
          <w:szCs w:val="24"/>
          <w:lang w:eastAsia="en-US"/>
        </w:rPr>
        <w:t>periode en een inflatie van 9,3 procent over diezelfde periode</w:t>
      </w:r>
      <w:r>
        <w:rPr>
          <w:rFonts w:eastAsia="Calibri"/>
          <w:sz w:val="24"/>
          <w:szCs w:val="24"/>
          <w:lang w:eastAsia="en-US"/>
        </w:rPr>
        <w:t xml:space="preserve">. In deze ramingen is het effect van het hogere btw-tarief en andere kostprijsverhogende belastingen meegerekend. </w:t>
      </w:r>
    </w:p>
    <w:p w:rsidR="00FD0EC2" w:rsidRDefault="00FD0EC2" w:rsidP="00FD0EC2">
      <w:pPr>
        <w:numPr>
          <w:ilvl w:val="0"/>
          <w:numId w:val="1"/>
        </w:numPr>
        <w:overflowPunct/>
        <w:autoSpaceDE/>
        <w:adjustRightInd/>
        <w:spacing w:after="95" w:line="256" w:lineRule="auto"/>
        <w:contextualSpacing/>
        <w:rPr>
          <w:rFonts w:eastAsia="Calibri"/>
          <w:sz w:val="24"/>
          <w:szCs w:val="24"/>
          <w:lang w:eastAsia="en-US"/>
        </w:rPr>
      </w:pPr>
      <w:r>
        <w:rPr>
          <w:rFonts w:eastAsia="Calibri"/>
          <w:sz w:val="24"/>
          <w:szCs w:val="24"/>
          <w:lang w:eastAsia="en-US"/>
        </w:rPr>
        <w:t xml:space="preserve">De verwachte ontwikkeling van de bijstands- en AOW-uitkering; </w:t>
      </w:r>
    </w:p>
    <w:p w:rsidR="00FD0EC2" w:rsidRDefault="00FD0EC2" w:rsidP="00FD0EC2">
      <w:pPr>
        <w:numPr>
          <w:ilvl w:val="0"/>
          <w:numId w:val="1"/>
        </w:numPr>
        <w:overflowPunct/>
        <w:autoSpaceDE/>
        <w:adjustRightInd/>
        <w:spacing w:after="95" w:line="256" w:lineRule="auto"/>
        <w:contextualSpacing/>
        <w:rPr>
          <w:rFonts w:eastAsia="Calibri"/>
          <w:sz w:val="24"/>
          <w:szCs w:val="24"/>
          <w:lang w:eastAsia="en-US"/>
        </w:rPr>
      </w:pPr>
      <w:r>
        <w:rPr>
          <w:rFonts w:eastAsia="Calibri"/>
          <w:sz w:val="24"/>
          <w:szCs w:val="24"/>
          <w:lang w:eastAsia="en-US"/>
        </w:rPr>
        <w:t xml:space="preserve">De verwachte gemiddelde ontwikkeling van aanvullende pensioenen; </w:t>
      </w:r>
    </w:p>
    <w:p w:rsidR="00FD0EC2" w:rsidRDefault="00FD0EC2" w:rsidP="00FD0EC2">
      <w:pPr>
        <w:numPr>
          <w:ilvl w:val="0"/>
          <w:numId w:val="1"/>
        </w:numPr>
        <w:overflowPunct/>
        <w:autoSpaceDE/>
        <w:adjustRightInd/>
        <w:spacing w:after="160" w:line="256" w:lineRule="auto"/>
        <w:contextualSpacing/>
        <w:rPr>
          <w:rFonts w:eastAsia="Calibri"/>
          <w:sz w:val="24"/>
          <w:szCs w:val="24"/>
          <w:lang w:eastAsia="en-US"/>
        </w:rPr>
      </w:pPr>
      <w:r>
        <w:rPr>
          <w:rFonts w:eastAsia="Calibri"/>
          <w:sz w:val="24"/>
          <w:szCs w:val="24"/>
          <w:lang w:eastAsia="en-US"/>
        </w:rPr>
        <w:t xml:space="preserve">De verwachte gemiddelde pensioenpremie. </w:t>
      </w:r>
    </w:p>
    <w:p w:rsidR="00FD0EC2" w:rsidRDefault="00FD0EC2" w:rsidP="00FD0EC2">
      <w:pPr>
        <w:overflowPunct/>
        <w:autoSpaceDE/>
        <w:adjustRightInd/>
        <w:spacing w:after="160" w:line="256" w:lineRule="auto"/>
        <w:contextualSpacing/>
        <w:rPr>
          <w:rFonts w:eastAsia="Calibri"/>
          <w:sz w:val="24"/>
          <w:szCs w:val="24"/>
          <w:lang w:eastAsia="en-US"/>
        </w:rPr>
      </w:pPr>
    </w:p>
    <w:p w:rsidR="00FD0EC2" w:rsidRDefault="00FD0EC2" w:rsidP="00FD0EC2">
      <w:pPr>
        <w:overflowPunct/>
        <w:autoSpaceDE/>
        <w:adjustRightInd/>
        <w:spacing w:after="160" w:line="256" w:lineRule="auto"/>
        <w:contextualSpacing/>
        <w:rPr>
          <w:rFonts w:eastAsia="Calibri"/>
          <w:sz w:val="24"/>
          <w:szCs w:val="24"/>
          <w:lang w:eastAsia="en-US"/>
        </w:rPr>
      </w:pPr>
    </w:p>
    <w:p w:rsidR="00FD0EC2" w:rsidRDefault="00FD0EC2" w:rsidP="00FD0EC2">
      <w:pPr>
        <w:overflowPunct/>
        <w:autoSpaceDE/>
        <w:adjustRightInd/>
        <w:spacing w:after="160" w:line="256" w:lineRule="auto"/>
        <w:contextualSpacing/>
        <w:rPr>
          <w:rFonts w:eastAsia="Calibri"/>
          <w:sz w:val="24"/>
          <w:szCs w:val="24"/>
          <w:lang w:eastAsia="en-US"/>
        </w:rPr>
      </w:pPr>
    </w:p>
    <w:p w:rsidR="00FD0EC2" w:rsidRDefault="00FD0EC2" w:rsidP="00FD0EC2">
      <w:pPr>
        <w:overflowPunct/>
        <w:rPr>
          <w:rFonts w:eastAsia="Calibri"/>
          <w:color w:val="000000"/>
          <w:sz w:val="24"/>
          <w:szCs w:val="24"/>
          <w:lang w:eastAsia="en-US"/>
        </w:rPr>
      </w:pPr>
    </w:p>
    <w:p w:rsidR="00FD0EC2" w:rsidRDefault="00FD0EC2" w:rsidP="00FD0EC2">
      <w:pPr>
        <w:overflowPunct/>
        <w:rPr>
          <w:rFonts w:eastAsia="Calibri"/>
          <w:color w:val="000000"/>
          <w:sz w:val="24"/>
          <w:szCs w:val="24"/>
          <w:lang w:eastAsia="en-US"/>
        </w:rPr>
      </w:pPr>
      <w:r>
        <w:rPr>
          <w:rFonts w:eastAsia="Calibri"/>
          <w:b/>
          <w:bCs/>
          <w:color w:val="000000"/>
          <w:sz w:val="24"/>
          <w:szCs w:val="24"/>
          <w:lang w:eastAsia="en-US"/>
        </w:rPr>
        <w:t xml:space="preserve">Gepensioneerden </w:t>
      </w:r>
    </w:p>
    <w:p w:rsidR="00FD0EC2" w:rsidRDefault="00FD0EC2" w:rsidP="00FD0EC2">
      <w:pPr>
        <w:overflowPunct/>
        <w:rPr>
          <w:rFonts w:eastAsia="Calibri"/>
          <w:sz w:val="24"/>
          <w:szCs w:val="24"/>
          <w:lang w:eastAsia="en-US"/>
        </w:rPr>
      </w:pPr>
      <w:r>
        <w:rPr>
          <w:rFonts w:eastAsia="Calibri"/>
          <w:sz w:val="24"/>
          <w:szCs w:val="24"/>
          <w:lang w:eastAsia="en-US"/>
        </w:rPr>
        <w:t xml:space="preserve">Huishoudens boven de AOW-leeftijd profiteren niet van de loonstijging. De ontwikkeling van de AOW is weliswaar gekoppeld aan de ontwikkeling van het minimumloon, maar de ontwikkeling van de aanvullende pensioenen niet. Naar verwachting zullen </w:t>
      </w:r>
      <w:r>
        <w:rPr>
          <w:rFonts w:eastAsia="Calibri"/>
          <w:b/>
          <w:sz w:val="24"/>
          <w:szCs w:val="24"/>
          <w:lang w:eastAsia="en-US"/>
        </w:rPr>
        <w:t>de aanvullende pensioenen de komende vier jaar gering stijgen (ruim 1,5 procent).</w:t>
      </w:r>
      <w:r>
        <w:rPr>
          <w:rFonts w:eastAsia="Calibri"/>
          <w:sz w:val="24"/>
          <w:szCs w:val="24"/>
          <w:lang w:eastAsia="en-US"/>
        </w:rPr>
        <w:t xml:space="preserve"> Dat is duidelijk minder dan de loonstijging van 13 procent. </w:t>
      </w:r>
    </w:p>
    <w:p w:rsidR="00FD0EC2" w:rsidRDefault="00FD0EC2" w:rsidP="00FD0EC2">
      <w:pPr>
        <w:overflowPunct/>
        <w:rPr>
          <w:rFonts w:eastAsia="Calibri"/>
          <w:color w:val="000000"/>
          <w:sz w:val="24"/>
          <w:szCs w:val="24"/>
          <w:lang w:eastAsia="en-US"/>
        </w:rPr>
      </w:pPr>
      <w:r>
        <w:rPr>
          <w:rFonts w:eastAsia="Calibri"/>
          <w:sz w:val="24"/>
          <w:szCs w:val="24"/>
          <w:lang w:eastAsia="en-US"/>
        </w:rPr>
        <w:t xml:space="preserve">Het regeerakkoord bevat een aantal maatregelen om de koopkracht van ouderen te ondersteunen. Zo wordt de maximale ouderenkorting verhoogd. Daarnaast zal de </w:t>
      </w:r>
      <w:r>
        <w:rPr>
          <w:rFonts w:eastAsia="Calibri"/>
          <w:color w:val="000000"/>
          <w:sz w:val="24"/>
          <w:szCs w:val="24"/>
          <w:lang w:eastAsia="en-US"/>
        </w:rPr>
        <w:t xml:space="preserve">ouderenkorting in 2021 geleidelijk worden afgebouwd bij een inkomen boven de inkomensgrens. Nu krijgt men boven de inkomensgrens in één keer een lager bedrag aan ouderenkorting (71 euro per jaar tegen 1292 euro onder de inkomensgrens (bedragen 2017)). </w:t>
      </w:r>
    </w:p>
    <w:p w:rsidR="00FD0EC2" w:rsidRDefault="00FD0EC2" w:rsidP="00FD0EC2">
      <w:pPr>
        <w:overflowPunct/>
        <w:rPr>
          <w:rFonts w:eastAsia="Calibri"/>
          <w:sz w:val="24"/>
          <w:szCs w:val="24"/>
          <w:lang w:eastAsia="en-US"/>
        </w:rPr>
      </w:pPr>
      <w:r>
        <w:rPr>
          <w:rFonts w:eastAsia="Calibri"/>
          <w:sz w:val="24"/>
          <w:szCs w:val="24"/>
          <w:lang w:eastAsia="en-US"/>
        </w:rPr>
        <w:t>Hoe groter het aandeel van het aanvullend pensioen is in het totale inkomen van deze huishoudens, hoe lager de uiteindelijke koopkrachtstijging. Voor sommige paren boven de AOW-gerechtigde leeftijd met een hoger inkomen, daalt tussen 2017 en 2021 de koopkracht zelfs.</w:t>
      </w:r>
    </w:p>
    <w:p w:rsidR="00FD0EC2" w:rsidRDefault="00FD0EC2" w:rsidP="00FD0EC2">
      <w:pPr>
        <w:overflowPunct/>
        <w:autoSpaceDE/>
        <w:adjustRightInd/>
        <w:spacing w:after="160" w:line="256" w:lineRule="auto"/>
        <w:rPr>
          <w:rFonts w:ascii="Calibri" w:eastAsia="Calibri" w:hAnsi="Calibri" w:cs="Times New Roman"/>
          <w:lang w:eastAsia="en-US"/>
        </w:rPr>
      </w:pPr>
    </w:p>
    <w:p w:rsidR="00FD0EC2" w:rsidRDefault="00FD0EC2" w:rsidP="00FD0EC2">
      <w:pPr>
        <w:overflowPunct/>
        <w:rPr>
          <w:rFonts w:eastAsia="Calibri"/>
          <w:color w:val="000000"/>
          <w:sz w:val="24"/>
          <w:szCs w:val="24"/>
          <w:lang w:eastAsia="en-US"/>
        </w:rPr>
      </w:pPr>
      <w:r>
        <w:rPr>
          <w:rFonts w:eastAsia="Calibri"/>
          <w:b/>
          <w:bCs/>
          <w:color w:val="000000"/>
          <w:sz w:val="24"/>
          <w:szCs w:val="24"/>
          <w:lang w:eastAsia="en-US"/>
        </w:rPr>
        <w:t xml:space="preserve">Fiscale ontwikkelingen </w:t>
      </w:r>
    </w:p>
    <w:p w:rsidR="00FD0EC2" w:rsidRDefault="00FD0EC2" w:rsidP="00FD0EC2">
      <w:pPr>
        <w:numPr>
          <w:ilvl w:val="0"/>
          <w:numId w:val="2"/>
        </w:numPr>
        <w:overflowPunct/>
        <w:autoSpaceDE/>
        <w:adjustRightInd/>
        <w:spacing w:after="97" w:line="256" w:lineRule="auto"/>
        <w:contextualSpacing/>
        <w:rPr>
          <w:rFonts w:eastAsia="Calibri"/>
          <w:color w:val="000000"/>
          <w:sz w:val="24"/>
          <w:szCs w:val="24"/>
          <w:lang w:eastAsia="en-US"/>
        </w:rPr>
      </w:pPr>
      <w:r>
        <w:rPr>
          <w:rFonts w:eastAsia="Calibri"/>
          <w:color w:val="000000"/>
          <w:sz w:val="24"/>
          <w:szCs w:val="24"/>
          <w:lang w:eastAsia="en-US"/>
        </w:rPr>
        <w:lastRenderedPageBreak/>
        <w:t xml:space="preserve">Invoering van een tweeschijvenstelsel in box 1, met handhaving van een aparte schijf voor AOW-gerechtigden; </w:t>
      </w:r>
    </w:p>
    <w:p w:rsidR="00FD0EC2" w:rsidRDefault="00FD0EC2" w:rsidP="00FD0EC2">
      <w:pPr>
        <w:numPr>
          <w:ilvl w:val="0"/>
          <w:numId w:val="2"/>
        </w:numPr>
        <w:overflowPunct/>
        <w:autoSpaceDE/>
        <w:adjustRightInd/>
        <w:spacing w:after="97" w:line="256" w:lineRule="auto"/>
        <w:contextualSpacing/>
        <w:rPr>
          <w:rFonts w:eastAsia="Calibri"/>
          <w:color w:val="000000"/>
          <w:sz w:val="24"/>
          <w:szCs w:val="24"/>
          <w:lang w:eastAsia="en-US"/>
        </w:rPr>
      </w:pPr>
      <w:r>
        <w:rPr>
          <w:rFonts w:eastAsia="Calibri"/>
          <w:color w:val="000000"/>
          <w:sz w:val="24"/>
          <w:szCs w:val="24"/>
          <w:lang w:eastAsia="en-US"/>
        </w:rPr>
        <w:t xml:space="preserve">De verlaging van het eigenwoningforfait; </w:t>
      </w:r>
    </w:p>
    <w:p w:rsidR="00FD0EC2" w:rsidRDefault="00FD0EC2" w:rsidP="00FD0EC2">
      <w:pPr>
        <w:numPr>
          <w:ilvl w:val="0"/>
          <w:numId w:val="2"/>
        </w:numPr>
        <w:overflowPunct/>
        <w:autoSpaceDE/>
        <w:adjustRightInd/>
        <w:spacing w:after="160" w:line="256" w:lineRule="auto"/>
        <w:contextualSpacing/>
        <w:rPr>
          <w:rFonts w:eastAsia="Calibri"/>
          <w:color w:val="000000"/>
          <w:sz w:val="24"/>
          <w:szCs w:val="24"/>
          <w:lang w:eastAsia="en-US"/>
        </w:rPr>
      </w:pPr>
      <w:r>
        <w:rPr>
          <w:rFonts w:eastAsia="Calibri"/>
          <w:color w:val="000000"/>
          <w:sz w:val="24"/>
          <w:szCs w:val="24"/>
          <w:lang w:eastAsia="en-US"/>
        </w:rPr>
        <w:t xml:space="preserve">Veranderingen in de ouderenkorting: de maximale ouderenkorting wordt hoger en de inkomensafhankelijkheid verandert; </w:t>
      </w:r>
    </w:p>
    <w:p w:rsidR="00FD0EC2" w:rsidRDefault="00FD0EC2" w:rsidP="00FD0EC2">
      <w:pPr>
        <w:numPr>
          <w:ilvl w:val="0"/>
          <w:numId w:val="2"/>
        </w:numPr>
        <w:overflowPunct/>
        <w:autoSpaceDE/>
        <w:adjustRightInd/>
        <w:spacing w:after="96" w:line="256" w:lineRule="auto"/>
        <w:contextualSpacing/>
        <w:rPr>
          <w:rFonts w:eastAsia="Calibri"/>
          <w:sz w:val="24"/>
          <w:szCs w:val="24"/>
          <w:lang w:eastAsia="en-US"/>
        </w:rPr>
      </w:pPr>
      <w:r>
        <w:rPr>
          <w:rFonts w:eastAsia="Calibri"/>
          <w:sz w:val="24"/>
          <w:szCs w:val="24"/>
          <w:lang w:eastAsia="en-US"/>
        </w:rPr>
        <w:t xml:space="preserve">Verhoging btw van 6 naar 9 procent; </w:t>
      </w:r>
    </w:p>
    <w:p w:rsidR="00FD0EC2" w:rsidRDefault="00FD0EC2" w:rsidP="00FD0EC2">
      <w:pPr>
        <w:numPr>
          <w:ilvl w:val="0"/>
          <w:numId w:val="2"/>
        </w:numPr>
        <w:overflowPunct/>
        <w:autoSpaceDE/>
        <w:adjustRightInd/>
        <w:spacing w:after="96" w:line="256" w:lineRule="auto"/>
        <w:contextualSpacing/>
        <w:rPr>
          <w:rFonts w:eastAsia="Calibri"/>
          <w:sz w:val="24"/>
          <w:szCs w:val="24"/>
          <w:lang w:eastAsia="en-US"/>
        </w:rPr>
      </w:pPr>
      <w:r>
        <w:rPr>
          <w:rFonts w:eastAsia="Calibri"/>
          <w:sz w:val="24"/>
          <w:szCs w:val="24"/>
          <w:lang w:eastAsia="en-US"/>
        </w:rPr>
        <w:t xml:space="preserve">Verlaging vaste vermindering energierekening; </w:t>
      </w:r>
    </w:p>
    <w:p w:rsidR="00FD0EC2" w:rsidRDefault="00FD0EC2" w:rsidP="00FD0EC2">
      <w:pPr>
        <w:numPr>
          <w:ilvl w:val="0"/>
          <w:numId w:val="2"/>
        </w:numPr>
        <w:overflowPunct/>
        <w:autoSpaceDE/>
        <w:adjustRightInd/>
        <w:spacing w:after="96" w:line="256" w:lineRule="auto"/>
        <w:contextualSpacing/>
        <w:rPr>
          <w:rFonts w:eastAsia="Calibri"/>
          <w:sz w:val="24"/>
          <w:szCs w:val="24"/>
          <w:lang w:eastAsia="en-US"/>
        </w:rPr>
      </w:pPr>
      <w:r>
        <w:rPr>
          <w:rFonts w:eastAsia="Calibri"/>
          <w:sz w:val="24"/>
          <w:szCs w:val="24"/>
          <w:lang w:eastAsia="en-US"/>
        </w:rPr>
        <w:t xml:space="preserve">Verhoging energiebelasting op gas en verlaging energiebelasting op elektriciteit; </w:t>
      </w:r>
    </w:p>
    <w:p w:rsidR="00FD0EC2" w:rsidRDefault="00FD0EC2" w:rsidP="00FD0EC2">
      <w:pPr>
        <w:numPr>
          <w:ilvl w:val="0"/>
          <w:numId w:val="2"/>
        </w:numPr>
        <w:overflowPunct/>
        <w:autoSpaceDE/>
        <w:adjustRightInd/>
        <w:spacing w:after="160" w:line="256" w:lineRule="auto"/>
        <w:contextualSpacing/>
        <w:rPr>
          <w:rFonts w:eastAsia="Calibri"/>
          <w:sz w:val="24"/>
          <w:szCs w:val="24"/>
          <w:lang w:eastAsia="en-US"/>
        </w:rPr>
      </w:pPr>
      <w:r>
        <w:rPr>
          <w:rFonts w:eastAsia="Calibri"/>
          <w:sz w:val="24"/>
          <w:szCs w:val="24"/>
          <w:lang w:eastAsia="en-US"/>
        </w:rPr>
        <w:t xml:space="preserve">Verhoging tabaksaccijns. </w:t>
      </w:r>
    </w:p>
    <w:p w:rsidR="00FD0EC2" w:rsidRDefault="00FD0EC2" w:rsidP="00FD0EC2">
      <w:pPr>
        <w:overflowPunct/>
        <w:rPr>
          <w:rFonts w:eastAsia="Calibri"/>
          <w:color w:val="000000"/>
          <w:sz w:val="24"/>
          <w:szCs w:val="24"/>
          <w:lang w:eastAsia="en-US"/>
        </w:rPr>
      </w:pPr>
    </w:p>
    <w:p w:rsidR="00FD0EC2" w:rsidRDefault="00FD0EC2" w:rsidP="00FD0EC2">
      <w:pPr>
        <w:overflowPunct/>
        <w:rPr>
          <w:rFonts w:eastAsia="Calibri"/>
          <w:color w:val="000000"/>
          <w:sz w:val="24"/>
          <w:szCs w:val="24"/>
          <w:lang w:eastAsia="en-US"/>
        </w:rPr>
      </w:pPr>
      <w:r>
        <w:rPr>
          <w:rFonts w:eastAsia="Calibri"/>
          <w:b/>
          <w:bCs/>
          <w:color w:val="000000"/>
          <w:sz w:val="24"/>
          <w:szCs w:val="24"/>
          <w:lang w:eastAsia="en-US"/>
        </w:rPr>
        <w:t xml:space="preserve">Zorgkosten </w:t>
      </w:r>
    </w:p>
    <w:p w:rsidR="00FD0EC2" w:rsidRDefault="00FD0EC2" w:rsidP="00FD0EC2">
      <w:pPr>
        <w:numPr>
          <w:ilvl w:val="0"/>
          <w:numId w:val="3"/>
        </w:numPr>
        <w:overflowPunct/>
        <w:autoSpaceDE/>
        <w:adjustRightInd/>
        <w:spacing w:after="93" w:line="256" w:lineRule="auto"/>
        <w:contextualSpacing/>
        <w:rPr>
          <w:rFonts w:eastAsia="Calibri"/>
          <w:color w:val="000000"/>
          <w:sz w:val="24"/>
          <w:szCs w:val="24"/>
          <w:lang w:eastAsia="en-US"/>
        </w:rPr>
      </w:pPr>
      <w:r>
        <w:rPr>
          <w:rFonts w:eastAsia="Calibri"/>
          <w:color w:val="000000"/>
          <w:sz w:val="24"/>
          <w:szCs w:val="24"/>
          <w:lang w:eastAsia="en-US"/>
        </w:rPr>
        <w:t xml:space="preserve">Bevriezing van het maximale verplichte eigen risico op 385 euro per jaar; </w:t>
      </w:r>
    </w:p>
    <w:p w:rsidR="00FD0EC2" w:rsidRDefault="00FD0EC2" w:rsidP="00FD0EC2">
      <w:pPr>
        <w:numPr>
          <w:ilvl w:val="0"/>
          <w:numId w:val="3"/>
        </w:numPr>
        <w:overflowPunct/>
        <w:autoSpaceDE/>
        <w:adjustRightInd/>
        <w:spacing w:after="160" w:line="256" w:lineRule="auto"/>
        <w:contextualSpacing/>
        <w:rPr>
          <w:rFonts w:eastAsia="Calibri"/>
          <w:color w:val="000000"/>
          <w:sz w:val="24"/>
          <w:szCs w:val="24"/>
          <w:lang w:eastAsia="en-US"/>
        </w:rPr>
      </w:pPr>
      <w:r>
        <w:rPr>
          <w:rFonts w:eastAsia="Calibri"/>
          <w:color w:val="000000"/>
          <w:sz w:val="24"/>
          <w:szCs w:val="24"/>
          <w:lang w:eastAsia="en-US"/>
        </w:rPr>
        <w:t xml:space="preserve">Alle maatregelen die de premie voor de basiszorgverzekering beïnvloeden en daarmee de hoogte van de zorgtoeslag. </w:t>
      </w:r>
    </w:p>
    <w:p w:rsidR="00FD0EC2" w:rsidRDefault="00FD0EC2" w:rsidP="00FD0EC2">
      <w:pPr>
        <w:overflowPunct/>
        <w:autoSpaceDE/>
        <w:adjustRightInd/>
        <w:spacing w:after="160" w:line="256" w:lineRule="auto"/>
        <w:rPr>
          <w:rFonts w:ascii="Calibri" w:eastAsia="Calibri" w:hAnsi="Calibri" w:cs="Times New Roman"/>
          <w:lang w:eastAsia="en-US"/>
        </w:rPr>
      </w:pPr>
    </w:p>
    <w:p w:rsidR="00FD0EC2" w:rsidRDefault="00FD0EC2" w:rsidP="00FD0EC2">
      <w:pPr>
        <w:overflowPunct/>
        <w:autoSpaceDE/>
        <w:adjustRightInd/>
        <w:spacing w:after="160" w:line="256" w:lineRule="auto"/>
        <w:rPr>
          <w:rFonts w:ascii="Calibri" w:eastAsia="Calibri" w:hAnsi="Calibri" w:cs="Times New Roman"/>
          <w:lang w:eastAsia="en-US"/>
        </w:rPr>
      </w:pPr>
      <w:r>
        <w:rPr>
          <w:rFonts w:ascii="Calibri" w:eastAsia="Calibri" w:hAnsi="Calibri" w:cs="Times New Roman"/>
          <w:lang w:eastAsia="en-US"/>
        </w:rPr>
        <w:t>(Bron; Nibud/CBS)</w:t>
      </w:r>
    </w:p>
    <w:p w:rsidR="00FD0EC2" w:rsidRDefault="00FD0EC2" w:rsidP="00FD0EC2">
      <w:pPr>
        <w:overflowPunct/>
        <w:autoSpaceDE/>
        <w:adjustRightInd/>
        <w:spacing w:after="160" w:line="256" w:lineRule="auto"/>
        <w:rPr>
          <w:rFonts w:ascii="Calibri" w:eastAsia="Calibri" w:hAnsi="Calibri" w:cs="Times New Roman"/>
          <w:lang w:eastAsia="en-US"/>
        </w:rPr>
      </w:pPr>
    </w:p>
    <w:p w:rsidR="00FD0EC2" w:rsidRDefault="00FD0EC2" w:rsidP="00FD0EC2"/>
    <w:p w:rsidR="00FD0EC2" w:rsidRDefault="00FD0EC2">
      <w:bookmarkStart w:id="0" w:name="_GoBack"/>
      <w:bookmarkEnd w:id="0"/>
    </w:p>
    <w:sectPr w:rsidR="00FD0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7960"/>
    <w:multiLevelType w:val="hybridMultilevel"/>
    <w:tmpl w:val="51780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2575420"/>
    <w:multiLevelType w:val="hybridMultilevel"/>
    <w:tmpl w:val="962A3422"/>
    <w:lvl w:ilvl="0" w:tplc="FFFFFFFF">
      <w:start w:val="1"/>
      <w:numFmt w:val="bullet"/>
      <w:lvlText w:val="•"/>
      <w:lvlJc w:val="left"/>
      <w:pPr>
        <w:ind w:left="0" w:firstLine="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4C139B9"/>
    <w:multiLevelType w:val="hybridMultilevel"/>
    <w:tmpl w:val="5F6E5E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C2"/>
    <w:rsid w:val="003A597B"/>
    <w:rsid w:val="00FD0E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E707"/>
  <w15:chartTrackingRefBased/>
  <w15:docId w15:val="{620D7C64-5F24-46CE-B367-18454DC4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0EC2"/>
    <w:pPr>
      <w:overflowPunct w:val="0"/>
      <w:autoSpaceDE w:val="0"/>
      <w:autoSpaceDN w:val="0"/>
      <w:adjustRightInd w:val="0"/>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Burm</dc:creator>
  <cp:keywords/>
  <dc:description/>
  <cp:lastModifiedBy>J Burm</cp:lastModifiedBy>
  <cp:revision>1</cp:revision>
  <dcterms:created xsi:type="dcterms:W3CDTF">2017-11-27T09:22:00Z</dcterms:created>
  <dcterms:modified xsi:type="dcterms:W3CDTF">2017-11-27T09:22:00Z</dcterms:modified>
</cp:coreProperties>
</file>